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bookmarkStart w:colFirst="0" w:colLast="0" w:name="_gjdgxs" w:id="0"/>
      <w:bookmarkEnd w:id="0"/>
      <w:r w:rsidDel="00000000" w:rsidR="00000000" w:rsidRPr="00000000">
        <w:rPr>
          <w:b w:val="1"/>
          <w:sz w:val="36"/>
          <w:szCs w:val="36"/>
          <w:rtl w:val="0"/>
        </w:rPr>
        <w:t xml:space="preserve">Rayat Shikashn Sanstha’s</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Dr.Babasaheb Ambedkar mahavidyalaya,Aundh-Pune 67</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Policy For Research Promotion</w:t>
      </w:r>
    </w:p>
    <w:p w:rsidR="00000000" w:rsidDel="00000000" w:rsidP="00000000" w:rsidRDefault="00000000" w:rsidRPr="00000000" w14:paraId="0000000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99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Introduction (Objective and Scope):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The policy enables establishment of research ecosystem and framework in the institution within which faculty, Research Scholars, Postgraduate and Undergraduate students, can conduct research, publish their research findings in reputed journals and present research findings in national and international conferences. Faculty can apply for research grant in the form of minor and major research projects. Students can pursue project base learning (PBL) by undertaking project work. It enables the students to take part in research competition festivals like “Avishkar” and “Anveshan”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Rayat Shikshan Sanstha’s Dr. Babasaheb Ambedkar Mahavidyalaya Aundh, Pune</w:t>
      </w: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has well established Research Laboratories in the subjects Commerce and Arts. The institution has a „Research Committee‟ to look after and promote various research activities in the institution. The total Research and Development activities are organized into the following three categories. </w:t>
      </w:r>
    </w:p>
    <w:p w:rsidR="00000000" w:rsidDel="00000000" w:rsidP="00000000" w:rsidRDefault="00000000" w:rsidRPr="00000000" w14:paraId="00000007">
      <w:pPr>
        <w:rPr>
          <w:b w:val="1"/>
          <w:sz w:val="28"/>
          <w:szCs w:val="28"/>
        </w:rPr>
      </w:pPr>
      <w:r w:rsidDel="00000000" w:rsidR="00000000" w:rsidRPr="00000000">
        <w:rPr>
          <w:b w:val="1"/>
          <w:sz w:val="28"/>
          <w:szCs w:val="28"/>
          <w:rtl w:val="0"/>
        </w:rPr>
        <w:t xml:space="preserve">2.Research Committee </w:t>
      </w:r>
    </w:p>
    <w:tbl>
      <w:tblPr>
        <w:tblStyle w:val="Table1"/>
        <w:tblW w:w="80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1417"/>
        <w:gridCol w:w="3270"/>
        <w:gridCol w:w="2400"/>
        <w:tblGridChange w:id="0">
          <w:tblGrid>
            <w:gridCol w:w="988"/>
            <w:gridCol w:w="1417"/>
            <w:gridCol w:w="3270"/>
            <w:gridCol w:w="2400"/>
          </w:tblGrid>
        </w:tblGridChange>
      </w:tblGrid>
      <w:tr>
        <w:trPr>
          <w:cantSplit w:val="0"/>
          <w:tblHeader w:val="0"/>
        </w:trPr>
        <w:tc>
          <w:tcPr/>
          <w:p w:rsidR="00000000" w:rsidDel="00000000" w:rsidP="00000000" w:rsidRDefault="00000000" w:rsidRPr="00000000" w14:paraId="00000008">
            <w:pPr>
              <w:rPr/>
            </w:pPr>
            <w:r w:rsidDel="00000000" w:rsidR="00000000" w:rsidRPr="00000000">
              <w:rPr>
                <w:rtl w:val="0"/>
              </w:rPr>
              <w:t xml:space="preserve">Sr.No.</w:t>
            </w:r>
          </w:p>
        </w:tc>
        <w:tc>
          <w:tcPr/>
          <w:p w:rsidR="00000000" w:rsidDel="00000000" w:rsidP="00000000" w:rsidRDefault="00000000" w:rsidRPr="00000000" w14:paraId="00000009">
            <w:pPr>
              <w:rPr/>
            </w:pPr>
            <w:r w:rsidDel="00000000" w:rsidR="00000000" w:rsidRPr="00000000">
              <w:rPr>
                <w:rtl w:val="0"/>
              </w:rPr>
              <w:t xml:space="preserve">Year</w:t>
            </w:r>
          </w:p>
        </w:tc>
        <w:tc>
          <w:tcPr/>
          <w:p w:rsidR="00000000" w:rsidDel="00000000" w:rsidP="00000000" w:rsidRDefault="00000000" w:rsidRPr="00000000" w14:paraId="0000000A">
            <w:pPr>
              <w:rPr/>
            </w:pPr>
            <w:r w:rsidDel="00000000" w:rsidR="00000000" w:rsidRPr="00000000">
              <w:rPr>
                <w:rtl w:val="0"/>
              </w:rPr>
              <w:t xml:space="preserve">Expert Committee</w:t>
            </w:r>
          </w:p>
        </w:tc>
        <w:tc>
          <w:tcPr/>
          <w:p w:rsidR="00000000" w:rsidDel="00000000" w:rsidP="00000000" w:rsidRDefault="00000000" w:rsidRPr="00000000" w14:paraId="0000000B">
            <w:pPr>
              <w:rPr/>
            </w:pPr>
            <w:r w:rsidDel="00000000" w:rsidR="00000000" w:rsidRPr="00000000">
              <w:rPr>
                <w:rtl w:val="0"/>
              </w:rPr>
              <w:t xml:space="preserve">Position</w:t>
            </w:r>
          </w:p>
        </w:tc>
      </w:tr>
      <w:tr>
        <w:trPr>
          <w:cantSplit w:val="0"/>
          <w:tblHeader w:val="0"/>
        </w:trPr>
        <w:tc>
          <w:tcPr/>
          <w:p w:rsidR="00000000" w:rsidDel="00000000" w:rsidP="00000000" w:rsidRDefault="00000000" w:rsidRPr="00000000" w14:paraId="0000000C">
            <w:pPr>
              <w:rPr/>
            </w:pPr>
            <w:r w:rsidDel="00000000" w:rsidR="00000000" w:rsidRPr="00000000">
              <w:rPr>
                <w:rtl w:val="0"/>
              </w:rPr>
              <w:t xml:space="preserve">1</w:t>
            </w:r>
          </w:p>
        </w:tc>
        <w:tc>
          <w:tcPr/>
          <w:p w:rsidR="00000000" w:rsidDel="00000000" w:rsidP="00000000" w:rsidRDefault="00000000" w:rsidRPr="00000000" w14:paraId="0000000D">
            <w:pPr>
              <w:rPr/>
            </w:pPr>
            <w:r w:rsidDel="00000000" w:rsidR="00000000" w:rsidRPr="00000000">
              <w:rPr>
                <w:rtl w:val="0"/>
              </w:rPr>
              <w:t xml:space="preserve">2021-22</w:t>
            </w:r>
          </w:p>
        </w:tc>
        <w:tc>
          <w:tcPr/>
          <w:p w:rsidR="00000000" w:rsidDel="00000000" w:rsidP="00000000" w:rsidRDefault="00000000" w:rsidRPr="00000000" w14:paraId="0000000E">
            <w:pPr>
              <w:rPr/>
            </w:pPr>
            <w:r w:rsidDel="00000000" w:rsidR="00000000" w:rsidRPr="00000000">
              <w:rPr>
                <w:rtl w:val="0"/>
              </w:rPr>
              <w:t xml:space="preserve">Principal Dr.Arun Andhale </w:t>
            </w:r>
          </w:p>
        </w:tc>
        <w:tc>
          <w:tcPr/>
          <w:p w:rsidR="00000000" w:rsidDel="00000000" w:rsidP="00000000" w:rsidRDefault="00000000" w:rsidRPr="00000000" w14:paraId="0000000F">
            <w:pPr>
              <w:rPr/>
            </w:pPr>
            <w:r w:rsidDel="00000000" w:rsidR="00000000" w:rsidRPr="00000000">
              <w:rPr>
                <w:rtl w:val="0"/>
              </w:rPr>
              <w:t xml:space="preserve">Chairman</w:t>
            </w:r>
          </w:p>
        </w:tc>
      </w:tr>
      <w:tr>
        <w:trPr>
          <w:cantSplit w:val="0"/>
          <w:tblHeader w:val="0"/>
        </w:trPr>
        <w:tc>
          <w:tcPr/>
          <w:p w:rsidR="00000000" w:rsidDel="00000000" w:rsidP="00000000" w:rsidRDefault="00000000" w:rsidRPr="00000000" w14:paraId="00000010">
            <w:pPr>
              <w:rPr/>
            </w:pPr>
            <w:r w:rsidDel="00000000" w:rsidR="00000000" w:rsidRPr="00000000">
              <w:rPr>
                <w:rtl w:val="0"/>
              </w:rPr>
              <w:t xml:space="preserve">2</w:t>
            </w:r>
          </w:p>
        </w:tc>
        <w:tc>
          <w:tcPr/>
          <w:p w:rsidR="00000000" w:rsidDel="00000000" w:rsidP="00000000" w:rsidRDefault="00000000" w:rsidRPr="00000000" w14:paraId="00000011">
            <w:pPr>
              <w:rPr/>
            </w:pPr>
            <w:r w:rsidDel="00000000" w:rsidR="00000000" w:rsidRPr="00000000">
              <w:rPr>
                <w:rtl w:val="0"/>
              </w:rPr>
            </w:r>
          </w:p>
        </w:tc>
        <w:tc>
          <w:tcPr/>
          <w:p w:rsidR="00000000" w:rsidDel="00000000" w:rsidP="00000000" w:rsidRDefault="00000000" w:rsidRPr="00000000" w14:paraId="00000012">
            <w:pPr>
              <w:rPr/>
            </w:pPr>
            <w:r w:rsidDel="00000000" w:rsidR="00000000" w:rsidRPr="00000000">
              <w:rPr>
                <w:rtl w:val="0"/>
              </w:rPr>
              <w:t xml:space="preserve">Prof. Dr. Reshma Divekar </w:t>
            </w:r>
          </w:p>
        </w:tc>
        <w:tc>
          <w:tcPr/>
          <w:p w:rsidR="00000000" w:rsidDel="00000000" w:rsidP="00000000" w:rsidRDefault="00000000" w:rsidRPr="00000000" w14:paraId="00000013">
            <w:pPr>
              <w:rPr/>
            </w:pPr>
            <w:r w:rsidDel="00000000" w:rsidR="00000000" w:rsidRPr="00000000">
              <w:rPr>
                <w:rtl w:val="0"/>
              </w:rPr>
              <w:t xml:space="preserve">Coordinator</w:t>
            </w:r>
          </w:p>
        </w:tc>
      </w:tr>
      <w:tr>
        <w:trPr>
          <w:cantSplit w:val="0"/>
          <w:tblHeader w:val="0"/>
        </w:trPr>
        <w:tc>
          <w:tcPr/>
          <w:p w:rsidR="00000000" w:rsidDel="00000000" w:rsidP="00000000" w:rsidRDefault="00000000" w:rsidRPr="00000000" w14:paraId="00000014">
            <w:pPr>
              <w:rPr/>
            </w:pPr>
            <w:r w:rsidDel="00000000" w:rsidR="00000000" w:rsidRPr="00000000">
              <w:rPr>
                <w:rtl w:val="0"/>
              </w:rPr>
              <w:t xml:space="preserve">3</w:t>
            </w:r>
          </w:p>
        </w:tc>
        <w:tc>
          <w:tcPr/>
          <w:p w:rsidR="00000000" w:rsidDel="00000000" w:rsidP="00000000" w:rsidRDefault="00000000" w:rsidRPr="00000000" w14:paraId="00000015">
            <w:pPr>
              <w:rPr/>
            </w:pPr>
            <w:r w:rsidDel="00000000" w:rsidR="00000000" w:rsidRPr="00000000">
              <w:rPr>
                <w:rtl w:val="0"/>
              </w:rPr>
            </w:r>
          </w:p>
        </w:tc>
        <w:tc>
          <w:tcPr/>
          <w:p w:rsidR="00000000" w:rsidDel="00000000" w:rsidP="00000000" w:rsidRDefault="00000000" w:rsidRPr="00000000" w14:paraId="00000016">
            <w:pPr>
              <w:rPr/>
            </w:pPr>
            <w:r w:rsidDel="00000000" w:rsidR="00000000" w:rsidRPr="00000000">
              <w:rPr>
                <w:rtl w:val="0"/>
              </w:rPr>
              <w:t xml:space="preserve">Prof.Dr.Savita Patil </w:t>
            </w:r>
          </w:p>
        </w:tc>
        <w:tc>
          <w:tcPr/>
          <w:p w:rsidR="00000000" w:rsidDel="00000000" w:rsidP="00000000" w:rsidRDefault="00000000" w:rsidRPr="00000000" w14:paraId="00000017">
            <w:pPr>
              <w:rPr/>
            </w:pPr>
            <w:r w:rsidDel="00000000" w:rsidR="00000000" w:rsidRPr="00000000">
              <w:rPr>
                <w:rtl w:val="0"/>
              </w:rPr>
              <w:t xml:space="preserve">IQAC Coordinator</w:t>
            </w:r>
          </w:p>
        </w:tc>
      </w:tr>
      <w:tr>
        <w:trPr>
          <w:cantSplit w:val="0"/>
          <w:tblHeader w:val="0"/>
        </w:trPr>
        <w:tc>
          <w:tcPr/>
          <w:p w:rsidR="00000000" w:rsidDel="00000000" w:rsidP="00000000" w:rsidRDefault="00000000" w:rsidRPr="00000000" w14:paraId="00000018">
            <w:pPr>
              <w:rPr/>
            </w:pPr>
            <w:r w:rsidDel="00000000" w:rsidR="00000000" w:rsidRPr="00000000">
              <w:rPr>
                <w:rtl w:val="0"/>
              </w:rPr>
              <w:t xml:space="preserve">4</w:t>
            </w:r>
          </w:p>
        </w:tc>
        <w:tc>
          <w:tcPr/>
          <w:p w:rsidR="00000000" w:rsidDel="00000000" w:rsidP="00000000" w:rsidRDefault="00000000" w:rsidRPr="00000000" w14:paraId="00000019">
            <w:pPr>
              <w:rPr/>
            </w:pPr>
            <w:r w:rsidDel="00000000" w:rsidR="00000000" w:rsidRPr="00000000">
              <w:rPr>
                <w:rtl w:val="0"/>
              </w:rPr>
            </w:r>
          </w:p>
        </w:tc>
        <w:tc>
          <w:tcPr/>
          <w:p w:rsidR="00000000" w:rsidDel="00000000" w:rsidP="00000000" w:rsidRDefault="00000000" w:rsidRPr="00000000" w14:paraId="0000001A">
            <w:pPr>
              <w:rPr/>
            </w:pPr>
            <w:r w:rsidDel="00000000" w:rsidR="00000000" w:rsidRPr="00000000">
              <w:rPr>
                <w:rtl w:val="0"/>
              </w:rPr>
              <w:t xml:space="preserve">Prof. Dr. Rajendra Raskar </w:t>
            </w:r>
          </w:p>
        </w:tc>
        <w:tc>
          <w:tcPr/>
          <w:p w:rsidR="00000000" w:rsidDel="00000000" w:rsidP="00000000" w:rsidRDefault="00000000" w:rsidRPr="00000000" w14:paraId="0000001B">
            <w:pPr>
              <w:rPr/>
            </w:pPr>
            <w:r w:rsidDel="00000000" w:rsidR="00000000" w:rsidRPr="00000000">
              <w:rPr>
                <w:rtl w:val="0"/>
              </w:rPr>
              <w:t xml:space="preserve">Member</w:t>
            </w:r>
          </w:p>
        </w:tc>
      </w:tr>
      <w:tr>
        <w:trPr>
          <w:cantSplit w:val="0"/>
          <w:tblHeader w:val="0"/>
        </w:trPr>
        <w:tc>
          <w:tcPr/>
          <w:p w:rsidR="00000000" w:rsidDel="00000000" w:rsidP="00000000" w:rsidRDefault="00000000" w:rsidRPr="00000000" w14:paraId="0000001C">
            <w:pPr>
              <w:rPr/>
            </w:pPr>
            <w:r w:rsidDel="00000000" w:rsidR="00000000" w:rsidRPr="00000000">
              <w:rPr>
                <w:rtl w:val="0"/>
              </w:rPr>
              <w:t xml:space="preserve">5</w:t>
            </w:r>
          </w:p>
        </w:tc>
        <w:tc>
          <w:tcPr/>
          <w:p w:rsidR="00000000" w:rsidDel="00000000" w:rsidP="00000000" w:rsidRDefault="00000000" w:rsidRPr="00000000" w14:paraId="0000001D">
            <w:pPr>
              <w:rPr/>
            </w:pPr>
            <w:r w:rsidDel="00000000" w:rsidR="00000000" w:rsidRPr="00000000">
              <w:rPr>
                <w:rtl w:val="0"/>
              </w:rPr>
            </w:r>
          </w:p>
        </w:tc>
        <w:tc>
          <w:tcPr/>
          <w:p w:rsidR="00000000" w:rsidDel="00000000" w:rsidP="00000000" w:rsidRDefault="00000000" w:rsidRPr="00000000" w14:paraId="0000001E">
            <w:pPr>
              <w:rPr/>
            </w:pPr>
            <w:r w:rsidDel="00000000" w:rsidR="00000000" w:rsidRPr="00000000">
              <w:rPr>
                <w:rtl w:val="0"/>
              </w:rPr>
              <w:t xml:space="preserve">Prof. Mayur Mali </w:t>
            </w:r>
          </w:p>
        </w:tc>
        <w:tc>
          <w:tcPr/>
          <w:p w:rsidR="00000000" w:rsidDel="00000000" w:rsidP="00000000" w:rsidRDefault="00000000" w:rsidRPr="00000000" w14:paraId="0000001F">
            <w:pPr>
              <w:rPr/>
            </w:pPr>
            <w:r w:rsidDel="00000000" w:rsidR="00000000" w:rsidRPr="00000000">
              <w:rPr>
                <w:rtl w:val="0"/>
              </w:rPr>
              <w:t xml:space="preserve">Member</w:t>
            </w:r>
          </w:p>
        </w:tc>
      </w:tr>
      <w:tr>
        <w:trPr>
          <w:cantSplit w:val="0"/>
          <w:tblHeader w:val="0"/>
        </w:trPr>
        <w:tc>
          <w:tcPr/>
          <w:p w:rsidR="00000000" w:rsidDel="00000000" w:rsidP="00000000" w:rsidRDefault="00000000" w:rsidRPr="00000000" w14:paraId="00000020">
            <w:pPr>
              <w:rPr/>
            </w:pPr>
            <w:r w:rsidDel="00000000" w:rsidR="00000000" w:rsidRPr="00000000">
              <w:rPr>
                <w:rtl w:val="0"/>
              </w:rPr>
              <w:t xml:space="preserve">6</w:t>
            </w:r>
          </w:p>
        </w:tc>
        <w:tc>
          <w:tcPr/>
          <w:p w:rsidR="00000000" w:rsidDel="00000000" w:rsidP="00000000" w:rsidRDefault="00000000" w:rsidRPr="00000000" w14:paraId="00000021">
            <w:pPr>
              <w:rPr/>
            </w:pPr>
            <w:r w:rsidDel="00000000" w:rsidR="00000000" w:rsidRPr="00000000">
              <w:rPr>
                <w:rtl w:val="0"/>
              </w:rPr>
            </w:r>
          </w:p>
        </w:tc>
        <w:tc>
          <w:tcPr/>
          <w:p w:rsidR="00000000" w:rsidDel="00000000" w:rsidP="00000000" w:rsidRDefault="00000000" w:rsidRPr="00000000" w14:paraId="00000022">
            <w:pPr>
              <w:rPr/>
            </w:pPr>
            <w:r w:rsidDel="00000000" w:rsidR="00000000" w:rsidRPr="00000000">
              <w:rPr>
                <w:rtl w:val="0"/>
              </w:rPr>
              <w:t xml:space="preserve">Prof. Kushal Pakhle </w:t>
            </w:r>
          </w:p>
        </w:tc>
        <w:tc>
          <w:tcPr/>
          <w:p w:rsidR="00000000" w:rsidDel="00000000" w:rsidP="00000000" w:rsidRDefault="00000000" w:rsidRPr="00000000" w14:paraId="00000023">
            <w:pPr>
              <w:rPr/>
            </w:pPr>
            <w:r w:rsidDel="00000000" w:rsidR="00000000" w:rsidRPr="00000000">
              <w:rPr>
                <w:rtl w:val="0"/>
              </w:rPr>
              <w:t xml:space="preserve">Invention Coordinator</w:t>
            </w:r>
          </w:p>
        </w:tc>
      </w:tr>
    </w:tb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99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990" w:right="0" w:hanging="36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Duties Research Committee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157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Research Committee formulates and updates research policies as per the norms of SavitribaiPhule Pune University and UGC. </w:t>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157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promotes faculty in engaging actively in research, in their chosen subject. </w:t>
      </w:r>
    </w:p>
    <w:p w:rsidR="00000000" w:rsidDel="00000000" w:rsidP="00000000" w:rsidRDefault="00000000" w:rsidRPr="00000000" w14:paraId="0000002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157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is the responsibility of the research committee to facilitate and monitor research activities, going on in the institution. </w:t>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157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organizes various Quality Improvement Programs like expert lectures, pertaining to research methodology and research techniques. </w:t>
      </w:r>
    </w:p>
    <w:p w:rsidR="00000000" w:rsidDel="00000000" w:rsidP="00000000" w:rsidRDefault="00000000" w:rsidRPr="00000000" w14:paraId="0000002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157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committee promotes submission of proposals from departments for holding seminars and conferences in the institution.</w:t>
      </w:r>
    </w:p>
    <w:p w:rsidR="00000000" w:rsidDel="00000000" w:rsidP="00000000" w:rsidRDefault="00000000" w:rsidRPr="00000000" w14:paraId="000000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157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motivates eligible faculty to apply for funding for minor and major research projects from various funding agencies, including University Research Cell (URC).</w:t>
      </w:r>
    </w:p>
    <w:p w:rsidR="00000000" w:rsidDel="00000000" w:rsidP="00000000" w:rsidRDefault="00000000" w:rsidRPr="00000000" w14:paraId="0000002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157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submit affiliation documents &amp; six monthly progress reports to the university</w:t>
      </w:r>
    </w:p>
    <w:p w:rsidR="00000000" w:rsidDel="00000000" w:rsidP="00000000" w:rsidRDefault="00000000" w:rsidRPr="00000000" w14:paraId="0000002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157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executes the maintenance of proper records of research scholars admitted in the research centre.</w:t>
      </w:r>
    </w:p>
    <w:p w:rsidR="00000000" w:rsidDel="00000000" w:rsidP="00000000" w:rsidRDefault="00000000" w:rsidRPr="00000000" w14:paraId="0000002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157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promotes and supervises participation of students in AVISHKAR &amp; ANVESHAN. </w:t>
      </w:r>
    </w:p>
    <w:p w:rsidR="00000000" w:rsidDel="00000000" w:rsidP="00000000" w:rsidRDefault="00000000" w:rsidRPr="00000000" w14:paraId="0000002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157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Financial Support for motivating research skills / Incentives and Awards for Research Achievements …………………….provides financial support to researchers for motivating their research skills in different ways with following guidelines. For Participation in Seminars/Conferences/Workshops:</w:t>
      </w:r>
    </w:p>
    <w:p w:rsidR="00000000" w:rsidDel="00000000" w:rsidP="00000000" w:rsidRDefault="00000000" w:rsidRPr="00000000" w14:paraId="0000003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157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faculty will be provided with Duty Leave and financial support for Registration Fee and Travelling Allowance (Fair for travel by bus/railway) for participation in University level and State level Seminars/Conferences/Workshops organized by other institutions and had to submit participation certificate. </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990" w:right="0" w:hanging="36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Academic and Industrial Collaboration for Research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55" w:right="0" w:firstLine="58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are committee to collaborate and Join hands with academic and research institute to increase the students and teachers involvement in collaborative reach. We also are eager full to collaborate with the industries for experimental learning and hands on experience for students and teacher.</w:t>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990" w:right="0" w:hanging="36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Outreach Programs for Society and Industry</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55" w:right="0" w:firstLine="58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institutions outreach program is intended to help local and regional, societies &amp; industry and contributing positively to community life. The outreach activities include, organizing educational seminars, demonstrations, field and farm visits. They shall be expanded in future.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990" w:right="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RESEARCH POLICY FOR ETHICS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037">
      <w:pPr>
        <w:jc w:val="both"/>
        <w:rPr>
          <w:sz w:val="28"/>
          <w:szCs w:val="28"/>
        </w:rPr>
      </w:pPr>
      <w:r w:rsidDel="00000000" w:rsidR="00000000" w:rsidRPr="00000000">
        <w:rPr>
          <w:sz w:val="28"/>
          <w:szCs w:val="28"/>
          <w:rtl w:val="0"/>
        </w:rPr>
        <w:t xml:space="preserve">               Research, education and extension are integral parts of any University system. The reputation of any University depends on quality of research and education. Various assessment, accreditation and ranking agencies worldwide give substantial weightage to quality and quantity of research undertaken by faculty and students of the University. Research quality, quantity and impact can be measured by various ways. The number of quality publications in peer reviewed reputed journals, their citations and utility of patents are commonly used for such metrics. Higher the number of quality research publications, citations and patents, higher is the academic reputation of the University. Research publications carry substantial weight in the faculty selection, promotions, increment and academic performance index (API) as advised by the University Grants Commission (UGC). Good API scores are required for career advancement and promotions. Many Universities have mandatory provision for certain number of publications before submitting PhD thesis and to get recognition as PhD guide. Therefore, clarity on what should be considered as a ‘research publication’ becomes very essential. PRESENT STATUS Increasing number of University faculty and students are falling prey to dubious/ spurious/ bogus / predatory publishers, journals and other periodicals. There is need for better clarity on what should be considered as good publication and what the broad criteria of good journal are. The unprecedented desperation of publication for reasons mentioned in the background, has resulted in mushrooming of hundreds of new publishers and open access, online. Many predatory commercial journals aggressively advertise and assure publication of any manuscript rapidly at cost. Most such Journals are from natural, applied and biomedical sciences, pharmacy, technology, and engineering and management disciplines, where there is huge demand. Especially in India, explosion of spurious journals and fraud/ unreliable indexing agencies has become a worrisome scam. Many private colleges and Universities have started in-house journals. It is Rayat’s Dr.Babasaheb Ambedkar Mahavidyalya, Aundh – Pune 67  Perspective Plan, Policies &amp; Code of Conduct noteworthy that Indian academic Societies and Academies are coming forward to take responsibility in dissemination of new research findings through their quality journals in the present outburst of unethical commercial publishers. PUBLICATION ETHICS The desperation to publish might have adverse effects on quality of publications, temptation to find short cuts and easy ways to publish, which in turn can compromise publication ethics. The Committee on Publication Ethics (COPE) as a forum of editors and publishers of peer review journals promotes integrity in research publications. COPE guidance and tutorials are valuable to promote publication ethics among faculty and students. COPE guidelines for authors, editors and publishers are available at www.publicationethics.org COPE guidelines for authors are more relevant for this report, which stress ethical and responsible research, compliance to all relevant legislation, presenting results clearly, honestly, and without plagiarism, fabrication, falsification or inappropriate data manipulation. Avoiding temptation of splitting data or using contents in parts to increase number of papers.</w:t>
      </w:r>
    </w:p>
    <w:p w:rsidR="00000000" w:rsidDel="00000000" w:rsidP="00000000" w:rsidRDefault="00000000" w:rsidRPr="00000000" w14:paraId="00000038">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990" w:hanging="360"/>
      </w:pPr>
      <w:rPr>
        <w:b w:val="1"/>
      </w:rPr>
    </w:lvl>
    <w:lvl w:ilvl="1">
      <w:start w:val="1"/>
      <w:numFmt w:val="lowerLetter"/>
      <w:lvlText w:val="%2."/>
      <w:lvlJc w:val="left"/>
      <w:pPr>
        <w:ind w:left="1710" w:hanging="360"/>
      </w:pPr>
      <w:rPr/>
    </w:lvl>
    <w:lvl w:ilvl="2">
      <w:start w:val="1"/>
      <w:numFmt w:val="lowerRoman"/>
      <w:lvlText w:val="%3."/>
      <w:lvlJc w:val="right"/>
      <w:pPr>
        <w:ind w:left="2430" w:hanging="180"/>
      </w:pPr>
      <w:rPr/>
    </w:lvl>
    <w:lvl w:ilvl="3">
      <w:start w:val="1"/>
      <w:numFmt w:val="decimal"/>
      <w:lvlText w:val="%4."/>
      <w:lvlJc w:val="left"/>
      <w:pPr>
        <w:ind w:left="3150" w:hanging="360"/>
      </w:pPr>
      <w:rPr/>
    </w:lvl>
    <w:lvl w:ilvl="4">
      <w:start w:val="1"/>
      <w:numFmt w:val="lowerLetter"/>
      <w:lvlText w:val="%5."/>
      <w:lvlJc w:val="left"/>
      <w:pPr>
        <w:ind w:left="3870" w:hanging="360"/>
      </w:pPr>
      <w:rPr/>
    </w:lvl>
    <w:lvl w:ilvl="5">
      <w:start w:val="1"/>
      <w:numFmt w:val="lowerRoman"/>
      <w:lvlText w:val="%6."/>
      <w:lvlJc w:val="right"/>
      <w:pPr>
        <w:ind w:left="4590" w:hanging="180"/>
      </w:pPr>
      <w:rPr/>
    </w:lvl>
    <w:lvl w:ilvl="6">
      <w:start w:val="1"/>
      <w:numFmt w:val="decimal"/>
      <w:lvlText w:val="%7."/>
      <w:lvlJc w:val="left"/>
      <w:pPr>
        <w:ind w:left="5310" w:hanging="360"/>
      </w:pPr>
      <w:rPr/>
    </w:lvl>
    <w:lvl w:ilvl="7">
      <w:start w:val="1"/>
      <w:numFmt w:val="lowerLetter"/>
      <w:lvlText w:val="%8."/>
      <w:lvlJc w:val="left"/>
      <w:pPr>
        <w:ind w:left="6030" w:hanging="360"/>
      </w:pPr>
      <w:rPr/>
    </w:lvl>
    <w:lvl w:ilvl="8">
      <w:start w:val="1"/>
      <w:numFmt w:val="lowerRoman"/>
      <w:lvlText w:val="%9."/>
      <w:lvlJc w:val="right"/>
      <w:pPr>
        <w:ind w:left="6750" w:hanging="180"/>
      </w:pPr>
      <w:rPr/>
    </w:lvl>
  </w:abstractNum>
  <w:abstractNum w:abstractNumId="2">
    <w:lvl w:ilvl="0">
      <w:start w:val="1"/>
      <w:numFmt w:val="decimal"/>
      <w:lvlText w:val="%1."/>
      <w:lvlJc w:val="left"/>
      <w:pPr>
        <w:ind w:left="990" w:hanging="360"/>
      </w:pPr>
      <w:rPr/>
    </w:lvl>
    <w:lvl w:ilvl="1">
      <w:start w:val="1"/>
      <w:numFmt w:val="lowerLetter"/>
      <w:lvlText w:val="%2."/>
      <w:lvlJc w:val="left"/>
      <w:pPr>
        <w:ind w:left="1575" w:hanging="360"/>
      </w:pPr>
      <w:rPr/>
    </w:lvl>
    <w:lvl w:ilvl="2">
      <w:start w:val="1"/>
      <w:numFmt w:val="lowerRoman"/>
      <w:lvlText w:val="%3."/>
      <w:lvlJc w:val="right"/>
      <w:pPr>
        <w:ind w:left="2295" w:hanging="180"/>
      </w:pPr>
      <w:rPr/>
    </w:lvl>
    <w:lvl w:ilvl="3">
      <w:start w:val="1"/>
      <w:numFmt w:val="decimal"/>
      <w:lvlText w:val="%4."/>
      <w:lvlJc w:val="left"/>
      <w:pPr>
        <w:ind w:left="3015" w:hanging="360"/>
      </w:pPr>
      <w:rPr/>
    </w:lvl>
    <w:lvl w:ilvl="4">
      <w:start w:val="1"/>
      <w:numFmt w:val="lowerLetter"/>
      <w:lvlText w:val="%5."/>
      <w:lvlJc w:val="left"/>
      <w:pPr>
        <w:ind w:left="3735" w:hanging="360"/>
      </w:pPr>
      <w:rPr/>
    </w:lvl>
    <w:lvl w:ilvl="5">
      <w:start w:val="1"/>
      <w:numFmt w:val="lowerRoman"/>
      <w:lvlText w:val="%6."/>
      <w:lvlJc w:val="right"/>
      <w:pPr>
        <w:ind w:left="4455" w:hanging="180"/>
      </w:pPr>
      <w:rPr/>
    </w:lvl>
    <w:lvl w:ilvl="6">
      <w:start w:val="1"/>
      <w:numFmt w:val="decimal"/>
      <w:lvlText w:val="%7."/>
      <w:lvlJc w:val="left"/>
      <w:pPr>
        <w:ind w:left="5175" w:hanging="360"/>
      </w:pPr>
      <w:rPr/>
    </w:lvl>
    <w:lvl w:ilvl="7">
      <w:start w:val="1"/>
      <w:numFmt w:val="lowerLetter"/>
      <w:lvlText w:val="%8."/>
      <w:lvlJc w:val="left"/>
      <w:pPr>
        <w:ind w:left="5895" w:hanging="360"/>
      </w:pPr>
      <w:rPr/>
    </w:lvl>
    <w:lvl w:ilvl="8">
      <w:start w:val="1"/>
      <w:numFmt w:val="lowerRoman"/>
      <w:lvlText w:val="%9."/>
      <w:lvlJc w:val="right"/>
      <w:pPr>
        <w:ind w:left="6615" w:hanging="180"/>
      </w:pPr>
      <w:rPr/>
    </w:lvl>
  </w:abstractNum>
  <w:abstractNum w:abstractNumId="3">
    <w:lvl w:ilvl="0">
      <w:start w:val="1"/>
      <w:numFmt w:val="decimal"/>
      <w:lvlText w:val="%1)"/>
      <w:lvlJc w:val="left"/>
      <w:pPr>
        <w:ind w:left="1575" w:hanging="360"/>
      </w:pPr>
      <w:rPr/>
    </w:lvl>
    <w:lvl w:ilvl="1">
      <w:start w:val="1"/>
      <w:numFmt w:val="lowerLetter"/>
      <w:lvlText w:val="%2."/>
      <w:lvlJc w:val="left"/>
      <w:pPr>
        <w:ind w:left="2295" w:hanging="360"/>
      </w:pPr>
      <w:rPr/>
    </w:lvl>
    <w:lvl w:ilvl="2">
      <w:start w:val="1"/>
      <w:numFmt w:val="lowerRoman"/>
      <w:lvlText w:val="%3."/>
      <w:lvlJc w:val="right"/>
      <w:pPr>
        <w:ind w:left="3015" w:hanging="180"/>
      </w:pPr>
      <w:rPr/>
    </w:lvl>
    <w:lvl w:ilvl="3">
      <w:start w:val="1"/>
      <w:numFmt w:val="decimal"/>
      <w:lvlText w:val="%4."/>
      <w:lvlJc w:val="left"/>
      <w:pPr>
        <w:ind w:left="3735" w:hanging="360"/>
      </w:pPr>
      <w:rPr/>
    </w:lvl>
    <w:lvl w:ilvl="4">
      <w:start w:val="1"/>
      <w:numFmt w:val="lowerLetter"/>
      <w:lvlText w:val="%5."/>
      <w:lvlJc w:val="left"/>
      <w:pPr>
        <w:ind w:left="4455" w:hanging="360"/>
      </w:pPr>
      <w:rPr/>
    </w:lvl>
    <w:lvl w:ilvl="5">
      <w:start w:val="1"/>
      <w:numFmt w:val="lowerRoman"/>
      <w:lvlText w:val="%6."/>
      <w:lvlJc w:val="right"/>
      <w:pPr>
        <w:ind w:left="5175" w:hanging="180"/>
      </w:pPr>
      <w:rPr/>
    </w:lvl>
    <w:lvl w:ilvl="6">
      <w:start w:val="1"/>
      <w:numFmt w:val="decimal"/>
      <w:lvlText w:val="%7."/>
      <w:lvlJc w:val="left"/>
      <w:pPr>
        <w:ind w:left="5895" w:hanging="360"/>
      </w:pPr>
      <w:rPr/>
    </w:lvl>
    <w:lvl w:ilvl="7">
      <w:start w:val="1"/>
      <w:numFmt w:val="lowerLetter"/>
      <w:lvlText w:val="%8."/>
      <w:lvlJc w:val="left"/>
      <w:pPr>
        <w:ind w:left="6615" w:hanging="360"/>
      </w:pPr>
      <w:rPr/>
    </w:lvl>
    <w:lvl w:ilvl="8">
      <w:start w:val="1"/>
      <w:numFmt w:val="lowerRoman"/>
      <w:lvlText w:val="%9."/>
      <w:lvlJc w:val="right"/>
      <w:pPr>
        <w:ind w:left="7335"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